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normal"/>
        <w:spacing w:lineRule="auto" w:line="240" w:before="0" w:after="240"/>
        <w:jc w:val="right"/>
        <w:rPr>
          <w:i/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Załącznik nr  </w:t>
      </w:r>
      <w:r>
        <w:rPr>
          <w:i/>
          <w:iCs/>
          <w:color w:val="000000"/>
          <w:sz w:val="20"/>
          <w:szCs w:val="20"/>
        </w:rPr>
        <w:t>1</w:t>
      </w:r>
      <w:r>
        <w:rPr>
          <w:i/>
          <w:iCs/>
          <w:color w:val="000000"/>
          <w:sz w:val="20"/>
          <w:szCs w:val="20"/>
        </w:rPr>
        <w:t xml:space="preserve"> do Zaproszenia, Załącznik nr 1 do Umowy</w:t>
      </w:r>
    </w:p>
    <w:p>
      <w:pPr>
        <w:pStyle w:val="LOnormal"/>
        <w:spacing w:lineRule="auto" w:line="240" w:before="0" w:after="240"/>
        <w:jc w:val="right"/>
        <w:rPr>
          <w:i/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</w:r>
    </w:p>
    <w:p>
      <w:pPr>
        <w:pStyle w:val="LOnormal"/>
        <w:spacing w:lineRule="auto" w:line="240" w:before="0" w:after="1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</w:rPr>
        <w:t>Opis przedmiotu zamówienia</w:t>
      </w:r>
    </w:p>
    <w:p>
      <w:pPr>
        <w:pStyle w:val="LOnormal"/>
        <w:spacing w:lineRule="auto" w:line="240" w:before="0" w:after="120"/>
        <w:jc w:val="center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0"/>
        </w:numPr>
        <w:shd w:val="clear" w:fill="auto"/>
        <w:spacing w:lineRule="auto" w:line="276" w:before="0" w:after="120"/>
        <w:ind w:left="0" w:right="0" w:hanging="0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1. SERWER – wymagania techniczne.</w:t>
      </w:r>
    </w:p>
    <w:tbl>
      <w:tblPr>
        <w:tblStyle w:val="Table1"/>
        <w:tblW w:w="9012" w:type="dxa"/>
        <w:jc w:val="left"/>
        <w:tblInd w:w="112" w:type="dxa"/>
        <w:tblLayout w:type="fixed"/>
        <w:tblCellMar>
          <w:top w:w="0" w:type="dxa"/>
          <w:left w:w="105" w:type="dxa"/>
          <w:bottom w:w="0" w:type="dxa"/>
          <w:right w:w="105" w:type="dxa"/>
        </w:tblCellMar>
        <w:tblLook w:val="0400"/>
      </w:tblPr>
      <w:tblGrid>
        <w:gridCol w:w="1523"/>
        <w:gridCol w:w="4825"/>
        <w:gridCol w:w="2664"/>
      </w:tblGrid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Komponent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Wymagane parametry i właściwości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TAK/NIE*</w:t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Obudowa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Obudowa maksymalnie 1U do montażu w szafie rack (wraz z szynami montażowymi oraz ramieniem do prowadzenia kabli, umożliwiającymi serwisowanie serwera w szafie rack bez jego wyłączania).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Obudowa musi posiadać minimum 8x zatok dyskowych HotPlug 2.5”.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Możliwość zainstalowania dedykowanego wewnętrznego napędu blu-ray.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Płyta główna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Dedykowana do pracy w serwerach, zaprojektowana przez producenta serwera i oznaczona jego znakiem firmowym umożliwiająca instalację dwóch procesorów, posiadająca minimum 32 sloty na pamięć operacyjną.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Procesory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Dwa procesory 16-rdzeniowe, taktowanie bazowe 2.0 GHz, architektura x86_64 osiągające w teście SPEC CPU2017 Floating Point wynik SPECrate2017_fp_base minimum 264 pkt (wynik osiągnięty dla zainstalowanych dla dwóch procesorów w dowolnym serwerze z oferty producenta). Wynik musi być opublikowany na stronie https://www.spec.org/cpu2017/results/cpu2017.html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Pamięć operacyjna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Zainstalowane min. 256 GB pamięci RAM DDR5 Registered 4800MT/s. Pamięci w modułach 64GB każdy.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Pamięci muszą posiadać wsparcie dla technologii: Memory Scrubbing, SDDC, ECC, Memory Mirroring, ADDDC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Obsługa minimum 8TB pamięci RAM DDR5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Sloty rozszerzeń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4 złącz PCI Express w tym: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0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 fizyczne złącza generacji 5 o prędkości x16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0"/>
              </w:numPr>
              <w:shd w:val="clear" w:fill="auto"/>
              <w:spacing w:lineRule="auto" w:line="240" w:before="0" w:after="16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 fizyczne złącza generacji 4 o prędkości x16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Dyski twarde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Zainstalowane 4 szt. dysków SSD SAS 960GB Read Intensive skonfigurowane w RAID i podpięte do sprzętowego kontrolera.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Możliwość instalacji 2 dysków M.2 na płycie głównej (lub dedykowanej karcie PCI Express), dyski nie mogą zajmować klatek dla dysków hot-plug.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Karty rozszerzeń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Oferowany serwer musi być dostarczony w konfiguracji: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 szt. minimum 2 portowa karta FC 32GB wraz z wkładkami SFP+ SW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 szt. kontroler SAS RAID posiadający minimum 4 porty Mini SAS HD na zewnątrz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Kontrolery I/O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Zainstalowany kontroler SAS RAID obsługujący poziomy 0,1,5,6,10,50,60 z wbudowaną pamięcią cache min. 2GB.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Interfejsy sieciowe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Karta(y) LAN, nie zajmująca żadnego z dostępnych slotów PCI Express, karty łącznie wyposażone w minimum 4 porty 1GbE Base-T oraz 2 porty 25GbE SFP28 wraz z wkładkami 25GbE.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Możliwość uzyskania czterech interfejsów 100Gbit QSFP28 bez konieczności instalacji kart w slotach PCIe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Karta graficzna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Zintegrowana karta graficzna ze złączem VGA z tyłu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2295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Porty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Minimum 5 portów USB 3.0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 porty USB 3.0 wewnętrzny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 porty USB 3.0 dostępne z tyłu serwera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 porty USB 3.0 na panelu przednim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Opcjonalny port serial, możliwość wykorzystania portu serial do zarządzania serwerem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Ilość dostępnych złącz USB nie może być osiągnięta poprzez stosowanie zewnętrznych przejściówek, rozgałęziaczy czy dodatkowych kart rozszerzeń zajmujących jakikolwiek slot PCI Express i/lub USB serwera.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Zasilanie, chłodzenie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Redundantne zasilacze hotplug o sprawności 96% (tzw. klasa Titanium) o mocy 900W.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Redundantne wentylatory hotplug.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Bezpieczeństwo</w:t>
            </w:r>
          </w:p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Zainstalowany moduł TPM 2.0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Możliwość zainstalowania fizycznego zabezpieczenia (np. na klucz lub elektrozamek) uniemożliwiającego fizyczny dostęp do dysków twardych.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Karta/moduł zarządzający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Wbudowane diody informacyjne lub wyświetlacz informujące o stanie serwera - system przewidywania, rozpoznawania awarii;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Zintegrowany z płytą główną serwera kontroler sprzętowy zdalnego zarządzania zgodny z IPMI 2.0 o funkcjonalnościach: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Niezależny od systemu operacyjnego, sprzętowy kontroler umożliwiający pełne zarządzanie, zdalny restart serwera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Dedykowana karta LAN 1 Gb/s, dedykowane złącze RJ-45 do komunikacji wyłącznie z kontrolerem zdalnego zarządzania z możliwością przeniesienia tej komunikacji na inną kartę sieciową współdzieloną z systemem operacyjnym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Dostęp poprzez przeglądarkę Web, SSH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Zarządzanie mocą i jej zużyciem oraz monitoring zużycia energii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Zarządzanie alarmami (zdarzenia poprzez SNMP)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przejęcia konsoli tekstowej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Przekierowanie konsoli graficznej na poziomie sprzętowym oraz możliwość montowania zdalnych napędów i ich obrazów na poziomie sprzętowym (cyfrowy KVM)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Obsługa serwerów proxy (autentykacja)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Obsługa VLAN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konfiguracji parametru Max. Transmission Unit (MTU)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Wsparcie dla protokołu SSDP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Obsługa protokołów TLS 1.2, SSL v3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Obsługa protokołu LDAP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Synchronizacja czasu poprzez protokół NTP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3"/>
              </w:numPr>
              <w:shd w:val="clear" w:fill="auto"/>
              <w:spacing w:lineRule="auto" w:line="240" w:before="0" w:after="12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backupu i odtwarzania ustawień bios serwera oraz     ustawień karty zarządzającej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Informacja o statusie pracy (poprawny, przewidywana usterka lub usterka) następujących komponentów: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2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karty rozszerzeń zainstalowane w dowolnym slocie PCI Express;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2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procesory CPU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2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pamięć RAM z dokładnością umożliwiającą jednoznaczną identyfikację uszkodzonego modułu pamięci RAM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1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status karty zarządzającej serwera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1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wentylatory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1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bateria podtrzymująca ustawienia BIOS płyty głównej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1"/>
              </w:numPr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zasilacze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11"/>
              </w:numPr>
              <w:shd w:val="clear" w:fill="auto"/>
              <w:spacing w:lineRule="auto" w:line="240" w:before="0" w:after="120"/>
              <w:ind w:left="720" w:right="0" w:hanging="36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system przewidywania/rozpoznawania awarii musi być niezależny i działać w przypadku odłączenia kabli zasilających serwera (podtrzymywany kondensatorowo lub bateryjnie w celu uruchomienia przy odłączonym zasilaniu sieciowym)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Oprogramowanie zarządzające i diagnostyczne wyprodukowane przez producenta serwera umożliwiające konfigurację kontrolera RAID, instalację systemów operacyjnych, zdalne zarządzanie, diagnostykę i przewidywanie awarii w oparciu o informacje dostarczane w ramach zintegrowanego w serwerze systemu umożliwiającego monitoring systemu i środowiska (m.in. temperatura, dyski, zasilacze, płyta główna, procesory, pamięć operacyjna);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Wbudowana w kartę zarządzającą (lub zainstalowana) pamięć flash dająca możliwość zdalnej reinstalacji systemu lub aplikacji z obrazów zainstalowanych w obrębie dedykowanej pamięci flash bez użytkowania zewnętrznych nośników lub kopiowania danych poprzez sieć LAN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Serwer posiada możliwość konfiguracji i wykonania aktualizacji BIOS, Firmware, sterowników serwera bezpośrednio z GUI (graficzny interfejs) karty zarządzającej serwera bez pośrednictwa innych nośników zewnętrznych i wewnętrznych poza obrębem karty zarządzającej.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Wsparcie dla systemów operacyjnych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Microsoft Windows Server 2022, 2019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VMWare vSphere 8.0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Suse Linux Enterprise Server 15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Red Hat Enterprise Linux 9, 8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Microsoft Hyper-V Server 2019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Dokumentacja, inne</w:t>
            </w:r>
          </w:p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Elementy, z których zbudowane są serwery muszą być produktami producenta tych serwerów lub być przez niego certyfikowane oraz całe muszą być objęte gwarancją producenta, o wymaganym w specyfikacji poziomie SLA – wymagane oświadczenie wykonawcy lub producenta;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Ogólnopolska, telefoniczna infolinia/linia techniczna producenta serwera, w ofercie należy podać link do strony producenta na której znajduje się nr telefonu oraz adres mailowy na który można zgłaszać usterki;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W czasie obowiązywania gwarancji na sprzęt, możliwość po podaniu na infolinii numeru seryjnego urządzenia weryfikacji pierwotnej konfiguracji sprzętowej serwera, w tym model i typ dysków twardych, procesora, ilość fabrycznie zainstalowanej pamięci operacyjnej, czasu obowiązywania i typ udzielonej gwarancji;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Możliwość aktualizacji i pobrania sterowników do oferowanego modelu serwera w najnowszych certyfikowanych wersjach bezpośrednio z sieci Internet za pośrednictwem strony www producenta serwera;</w:t>
            </w:r>
          </w:p>
          <w:p>
            <w:pPr>
              <w:pStyle w:val="LOnormal"/>
              <w:widowControl w:val="fals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Możliwość pracy w pomieszczeniach o wilgotności w zawierającej się w przedziale 8 - 85 %;</w:t>
            </w:r>
          </w:p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Zgodność z normami: CB, RoHS, WEEE oraz CE.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Oprogramowanie</w:t>
            </w:r>
          </w:p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Licencja Windows Server 2022 Standard obejmująca zaproponowaną liczbę rdzeni oferowanego serwera procesorów lub równoważna.</w:t>
            </w:r>
          </w:p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Licencja musi zostać tak dobrana, aby była zgodna z zasadami licencjonowania producenta oraz pozwalała na legalne używanie na oferowanym serwerze.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Parametry równoważności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Serwerowy system operacyjny musi posiadać następujące, wbudowane cechy: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wykorzystania 320 logicznych procesorów oraz co najmniej 4 TB pamięci RAM w środowisku fizycznym.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wykorzystywania 64 procesorów wirtualnych oraz 1TB pamięci RAM i dysku o pojemności do 64TB przez każdy wirtualny serwerowy system operacyjny.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budowania klastrów składających się z 64 węzłów, z możliwością uruchamiania 7000 maszyn wirtualnych.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migracji maszyn wirtualnych bez zatrzymywania ich pracy między fizycznymi serwerami z uruchomionym mechanizmem wirtualizacji (hypervisor) przez sieć Ethernet, bez konieczności stosowania dodatkowych mechanizmów współdzielenia pamięci.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Wsparcie (na umożliwiającym to sprzęcie) dodawania i wymiany pamięci RAM bez przerywania pracy.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Wsparcie (na umożliwiającym to sprzęcie) dodawania i wymiany procesorów bez przerywania pracy.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Automatyczna weryfikacja cyfrowych sygnatur sterowników w celu sprawdzenia czy sterownik przeszedł testy jakości przeprowadzone przez producenta systemu operacyjnego.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dynamicznego obniżania poboru energii przez rdzenie procesorów niewykorzystywane w bieżącej pracy. Mechanizm ten musi uwzględniać specyfikę procesorów wyposażonych w mechanizmy Hyper-Threading.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Wbudowane wsparcie instalacji i pracy na wolumenach, które: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8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pozwalają na zmianę rozmiaru w czasie pracy systemu,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8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umożliwiają tworzenie w czasie pracy systemu migawek, dających użytkownikom końcowym (lokalnym i sieciowym) prosty wgląd w poprzednie wersje plików i folderów,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8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umożliwiają kompresję "w locie" dla wybranych plików i/lub folderów,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8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umożliwiają zdefiniowanie list kontroli dostępu (ACL).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Wbudowany mechanizm klasyfikowania i indeksowania plików (dokumentów) w oparciu o ich zawartość.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Wbudowane szyfrowanie dysków przy pomocy mechanizmów posiadających certyfikat FIPS 140-2 lub równoważny wydany przez NIST lub inną agendę rządową zajmującą się bezpieczeństwem informacji.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uruchamianie aplikacji internetowych wykorzystujących technologię ASP.NET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dystrybucji ruchu sieciowego HTTP pomiędzy kilka serwerów.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Wbudowana zapora internetowa (firewall) z obsługą definiowanych reguł dla ochrony połączeń internetowych i intranetowych.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59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Dostępne dwa rodzaje graficznego interfejsu użytkownika: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7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Klasyczny, umożliwiający obsługę przy pomocy klawiatury i myszy,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7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Dotykowy umożliwiający sterowanie dotykiem na monitorach dotykowych.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Zlokalizowane w języku polskim, co najmniej następujące elementy: menu, przeglądarka internetowa, pomoc, komunikaty systemowe,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zmiany języka interfejsu po zainstalowaniu systemu, dla co najmniej 10 języków poprzez wybór z listy dostępnych lokalizacji.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Mechanizmy logowania w oparciu o: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6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Login i hasło,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6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Karty z certyfikatami (smartcard),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6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Wirtualne karty (logowanie w oparciu o certyfikat chroniony poprzez moduł TPM),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wymuszania wieloelementowej dynamicznej kontroli dostępu dla: określonych grup użytkowników, zastosowanej klasyfikacji danych, centralnych polityk dostępu w sieci, centralnych polityk audytowych oraz narzuconych dla grup użytkowników praw do wykorzystywania szyfrowanych danych.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Wsparcie dla większości powszechnie używanych urządzeń peryferyjnych (drukarek, urządzeń sieciowych, standardów USB, Plug&amp;Play).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zdalnej konfiguracji, administrowania oraz aktualizowania systemu.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Dostępność bezpłatnych narzędzi producenta systemu umożliwiających badanie i wdrażanie zdefiniowanego zestawu polityk bezpieczeństwa.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Pochodzący od producenta systemu serwis zarządzania polityką dostępu do informacji w dokumentach (Digital Rights Management).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Wsparcie dla środowisk Java i .NET Framework 4.x – możliwość uruchomienia aplikacji działających we wskazanych środowiskach.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implementacji następujących funkcjonalności bez potrzeby instalowania dodatkowych produktów (oprogramowania) innych producentów wymagających dodatkowych licencji: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Podstawowe usługi sieciowe: DHCP oraz DNS wspierający DNSSEC,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Usługi katalogowe oparte o LDAP i pozwalające na uwierzytelnianie użytkowników stacji roboczych, bez konieczności instalowania dodatkowego oprogramowania na tych stacjach, pozwalające na zarządzanie zasobami w sieci (użytkownicy, komputery, drukarki, udziały sieciowe), z możliwością wykorzystania następujących funkcji: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4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Podłączenie do domeny w trybie offline – bez dostępnego połączenia sieciowego z domeną,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4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Ustanawianie praw dostępu do zasobów domeny na bazie sposobu logowania użytkownika – na przykład typu certyfikatu użytego do logowania,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4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Odzyskiwanie przypadkowo skasowanych obiektów usługi katalogowej z mechanizmu kosza.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4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Bezpieczny mechanizm dołączania do domeny uprawnionych użytkowników prywatnych urządzeń mobilnych opartych o iOS i Windows 8.1.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Zdalna dystrybucja oprogramowania na stacje robocze.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Praca zdalna na serwerze z wykorzystaniem terminala (cienkiego klienta) lub odpowiednio skonfigurowanej stacji roboczej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3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Centrum Certyfikatów (CA), obsługa klucza publicznego i prywatnego) umożliwiające: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2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Dystrybucję certyfikatów poprzez http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2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Konsolidację CA dla wielu lasów domeny,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2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Automatyczne rejestrowania certyfikatów pomiędzy różnymi lasami domen,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2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Automatyczne występowanie i używanie (wystawianie) certyfikatów PKI X.509.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Szyfrowanie plików i folderów.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Szyfrowanie połączeń sieciowych pomiędzy serwerami oraz serwerami i stacjami roboczymi (IPSec).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tworzenia systemów wysokiej dostępności (klastry typu fail-over) oraz rozłożenia obciążenia serwerów.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Serwis udostępniania stron WWW.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Wsparcie dla protokołu IP w wersji 6 (IPv6),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Wsparcie dla algorytmów Suite B (RFC 4869),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Wbudowane usługi VPN pozwalające na zestawienie nielimitowanej liczby równoczesnych połączeń i niewymagające instalacji dodatkowego oprogramowania na komputerach z systemem Windows,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1"/>
                <w:numId w:val="15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Wbudowane mechanizmy wirtualizacji (Hypervisor) pozwalające na uruchamianie do 1000 aktywnych środowisk wirtualnych systemów operacyjnych. Wirtualne maszyny w trakcie pracy i bez zauważalnego zmniejszenia ich dostępności mogą być przenoszone pomiędzy serwerami klastra typu failover z jednoczesnym zachowaniem pozostałej funkcjonalności. Mechanizmy wirtualizacji mają zapewnić wsparcie dla: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1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Dynamicznego podłączania zasobów dyskowych typu hot-plug do maszyn wirtualnych,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1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Obsługi ramek typu jumbo frames dla maszyn wirtualnych.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1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Obsługi 4-KB sektorów dysków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1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Nielimitowanej liczby jednocześnie przenoszonych maszyn wirtualnych pomiędzy węzłami klastra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1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Możliwości wirtualizacji sieci z zastosowaniem przełącznika, którego funkcjonalność może być rozszerzana jednocześnie poprzez oprogramowanie kilku innych dostawców poprzez otwarty interfejs API.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2"/>
                <w:numId w:val="1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Możliwości kierowania ruchu sieciowego z wielu sieci VLAN bezpośrednio do pojedynczej karty sieciowej maszyny wirtualnej (tzw. trunk mode)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automatycznej aktualizacji w oparciu o poprawki publikowane przez producenta wraz z dostępnością bezpłatnego rozwiązania producenta serwerowego systemu operacyjnego umożliwiającego lokalną dystrybucję poprawek zatwierdzonych przez administratora, bez połączenia z siecią Internet.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Wsparcie dostępu do zasobu dyskowego poprzez wiele ścieżek (Multipath).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instalacji poprawek poprzez wgranie ich do obrazu instalacyjnego.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Mechanizmy zdalnej administracji oraz mechanizmy (również działające zdalnie) administracji przez skrypty.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Możliwość zarządzania przez wbudowane mechanizmy zgodne ze standardami WBEM oraz WS-Management organizacji DMTF.</w:t>
            </w:r>
          </w:p>
          <w:p>
            <w:pPr>
              <w:pStyle w:val="LOnormal"/>
              <w:keepNext w:val="false"/>
              <w:keepLines w:val="false"/>
              <w:widowControl w:val="false"/>
              <w:numPr>
                <w:ilvl w:val="0"/>
                <w:numId w:val="9"/>
              </w:numPr>
              <w:shd w:val="clear" w:fill="auto"/>
              <w:spacing w:lineRule="auto" w:line="240" w:before="0" w:after="160"/>
              <w:ind w:left="0" w:right="0" w:hanging="0"/>
              <w:jc w:val="lef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Aptos" w:cs="Aptos" w:ascii="Times New Roman" w:hAnsi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Zorganizowany system szkoleń i materiały edukacyjne w języku polskim.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40" w:before="0" w:after="12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</w:r>
          </w:p>
        </w:tc>
      </w:tr>
      <w:tr>
        <w:trPr>
          <w:trHeight w:val="300" w:hRule="atLeast"/>
        </w:trPr>
        <w:tc>
          <w:tcPr>
            <w:tcW w:w="15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before="0" w:after="16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Gwarancja</w:t>
            </w:r>
          </w:p>
        </w:tc>
        <w:tc>
          <w:tcPr>
            <w:tcW w:w="4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59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Play" w:cs="Play" w:ascii="Times New Roman" w:hAnsi="Times New Roman"/>
                <w:color w:val="000000"/>
                <w:sz w:val="22"/>
                <w:szCs w:val="22"/>
              </w:rPr>
              <w:t>36 miesiące gwarancji</w:t>
            </w:r>
          </w:p>
          <w:p>
            <w:pPr>
              <w:pStyle w:val="LOnormal"/>
              <w:widowControl w:val="false"/>
              <w:spacing w:lineRule="auto" w:line="259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Play" w:cs="Play" w:ascii="Times New Roman" w:hAnsi="Times New Roman"/>
                <w:color w:val="000000"/>
                <w:sz w:val="22"/>
                <w:szCs w:val="22"/>
              </w:rPr>
              <w:t>Warunki szczegółowe:</w:t>
            </w:r>
            <w:r>
              <w:rPr>
                <w:rFonts w:eastAsia="Play" w:cs="Play" w:ascii="Times New Roman" w:hAnsi="Times New Roman"/>
                <w:sz w:val="22"/>
                <w:szCs w:val="22"/>
              </w:rPr>
              <w:br/>
            </w:r>
            <w:r>
              <w:rPr>
                <w:rFonts w:eastAsia="Play" w:cs="Play" w:ascii="Times New Roman" w:hAnsi="Times New Roman"/>
                <w:color w:val="000000"/>
                <w:sz w:val="22"/>
                <w:szCs w:val="22"/>
              </w:rPr>
              <w:t xml:space="preserve">W trybie następnego dnia roboczego od dnia zgłoszenia  </w:t>
            </w:r>
            <w:r>
              <w:rPr>
                <w:rFonts w:eastAsia="Play" w:cs="Play" w:ascii="Times New Roman" w:hAnsi="Times New Roman"/>
                <w:sz w:val="22"/>
                <w:szCs w:val="22"/>
              </w:rPr>
              <w:br/>
            </w:r>
            <w:r>
              <w:rPr>
                <w:rFonts w:eastAsia="Play" w:cs="Play" w:ascii="Times New Roman" w:hAnsi="Times New Roman"/>
                <w:color w:val="000000"/>
                <w:sz w:val="22"/>
                <w:szCs w:val="22"/>
              </w:rPr>
              <w:t xml:space="preserve">Uszkodzone dyski pozostają u Zamawiającego. </w:t>
            </w:r>
            <w:r>
              <w:rPr>
                <w:rFonts w:eastAsia="Play" w:cs="Play" w:ascii="Times New Roman" w:hAnsi="Times New Roman"/>
                <w:sz w:val="22"/>
                <w:szCs w:val="22"/>
              </w:rPr>
              <w:br/>
            </w:r>
            <w:r>
              <w:rPr>
                <w:rFonts w:eastAsia="Play" w:cs="Play" w:ascii="Times New Roman" w:hAnsi="Times New Roman"/>
                <w:color w:val="000000"/>
                <w:sz w:val="22"/>
                <w:szCs w:val="22"/>
              </w:rPr>
              <w:t>Naprawa musi być realizowana przez producenta sprzętu lub autoryzowany przez producenta serwis.</w:t>
            </w:r>
            <w:r>
              <w:rPr>
                <w:rFonts w:eastAsia="Play" w:cs="Play" w:ascii="Times New Roman" w:hAnsi="Times New Roman"/>
                <w:sz w:val="22"/>
                <w:szCs w:val="22"/>
              </w:rPr>
              <w:br/>
            </w:r>
            <w:r>
              <w:rPr>
                <w:rFonts w:eastAsia="Play" w:cs="Play" w:ascii="Times New Roman" w:hAnsi="Times New Roman"/>
                <w:color w:val="000000"/>
                <w:sz w:val="22"/>
                <w:szCs w:val="22"/>
              </w:rPr>
              <w:t>W okresie obowiązywania gwarancji producent musi zapewniać również dostęp do aktualizacji oprogramowania.</w:t>
            </w:r>
          </w:p>
          <w:p>
            <w:pPr>
              <w:pStyle w:val="LOnormal"/>
              <w:widowControl w:val="false"/>
              <w:spacing w:lineRule="auto" w:line="259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Play" w:cs="Play" w:ascii="Times New Roman" w:hAnsi="Times New Roman"/>
                <w:color w:val="000000"/>
                <w:sz w:val="22"/>
                <w:szCs w:val="22"/>
              </w:rPr>
              <w:t>Firma serwisująca musi posiadać ISO 9001:2000 na świadczenie usług serwisowych.</w:t>
            </w:r>
          </w:p>
          <w:p>
            <w:pPr>
              <w:pStyle w:val="LOnormal"/>
              <w:widowControl w:val="false"/>
              <w:spacing w:lineRule="auto" w:line="259" w:before="0" w:after="12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Play" w:cs="Play" w:ascii="Times New Roman" w:hAnsi="Times New Roman"/>
                <w:color w:val="000000"/>
                <w:sz w:val="22"/>
                <w:szCs w:val="22"/>
              </w:rPr>
              <w:t>Możliwość sprawdzenia gwarancji na stronie producenta poprzez wpisanie numeru seryjnego urządzenia lub poprzez dedykowaną infolinię producenta.</w:t>
            </w:r>
          </w:p>
        </w:tc>
        <w:tc>
          <w:tcPr>
            <w:tcW w:w="26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LOnormal"/>
              <w:widowControl w:val="false"/>
              <w:spacing w:lineRule="auto" w:line="259" w:before="0" w:after="120"/>
              <w:rPr>
                <w:rFonts w:ascii="Times New Roman" w:hAnsi="Times New Roman" w:eastAsia="Play" w:cs="Play"/>
                <w:color w:val="000000"/>
                <w:sz w:val="22"/>
                <w:szCs w:val="22"/>
              </w:rPr>
            </w:pPr>
            <w:r>
              <w:rPr>
                <w:rFonts w:eastAsia="Play" w:cs="Play" w:ascii="Times New Roman" w:hAnsi="Times New Roman"/>
                <w:color w:val="000000"/>
                <w:sz w:val="22"/>
                <w:szCs w:val="22"/>
              </w:rPr>
            </w:r>
          </w:p>
        </w:tc>
      </w:tr>
    </w:tbl>
    <w:p>
      <w:pPr>
        <w:pStyle w:val="Normal"/>
        <w:spacing w:before="0" w:after="0"/>
        <w:ind w:right="0" w:hanging="0"/>
        <w:jc w:val="both"/>
        <w:rPr>
          <w:rFonts w:ascii="Times New Roman" w:hAnsi="Times New Roman"/>
          <w:b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- *należy wpisać właściwą odpowiedź TAK lub NIE oraz jeśli to wymagane, wskazane dane;     </w:t>
      </w:r>
    </w:p>
    <w:p>
      <w:pPr>
        <w:pStyle w:val="Normal"/>
        <w:rPr>
          <w:rFonts w:ascii="Times New Roman" w:hAnsi="Times New Roman"/>
          <w:b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-   brak odpowiedzi uznane będzie jako odpowiedź „NIE”;</w:t>
      </w:r>
    </w:p>
    <w:p>
      <w:pPr>
        <w:pStyle w:val="Normal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</w:r>
    </w:p>
    <w:p>
      <w:pPr>
        <w:pStyle w:val="Normal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0"/>
        </w:numPr>
        <w:shd w:val="clear" w:fill="auto"/>
        <w:spacing w:lineRule="auto" w:line="276" w:before="0" w:after="0"/>
        <w:ind w:left="360" w:right="0" w:hanging="0"/>
        <w:jc w:val="left"/>
        <w:rPr>
          <w:rFonts w:ascii="Times New Roman" w:hAnsi="Times New Roman"/>
          <w:sz w:val="22"/>
          <w:szCs w:val="22"/>
        </w:rPr>
      </w:pPr>
      <w:bookmarkStart w:id="0" w:name="_gjdgxs"/>
      <w:bookmarkEnd w:id="0"/>
      <w:r>
        <w:rPr>
          <w:rFonts w:eastAsia="Aptos" w:cs="Aptos" w:ascii="Times New Roman" w:hAnsi="Times New Roman"/>
          <w:b/>
          <w:bCs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2. Dostawa i wdrożenie.</w:t>
      </w:r>
    </w:p>
    <w:p>
      <w:pPr>
        <w:pStyle w:val="LOnormal"/>
        <w:keepNext w:val="false"/>
        <w:keepLines w:val="false"/>
        <w:pageBreakBefore w:val="false"/>
        <w:widowControl/>
        <w:shd w:val="clear" w:fill="auto"/>
        <w:spacing w:lineRule="auto" w:line="252" w:before="0" w:after="160"/>
        <w:ind w:left="720" w:right="0" w:hanging="0"/>
        <w:jc w:val="left"/>
        <w:rPr>
          <w:rFonts w:ascii="Times New Roman" w:hAnsi="Times New Roman"/>
          <w:sz w:val="22"/>
          <w:szCs w:val="22"/>
        </w:rPr>
      </w:pPr>
      <w:bookmarkStart w:id="1" w:name="_30j0zll"/>
      <w:bookmarkEnd w:id="1"/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Zamawiający wymaga, aby wszystkie prace związane konfiguracją i realizacją zadania były wykonywane przez wykwalifikowanych inżynierów posiadających co najmniej 2 letnie doświadczenie we wdrażaniu, konfiguracji i administracji sprzętem klasy enterprise.</w:t>
      </w:r>
    </w:p>
    <w:p>
      <w:pPr>
        <w:pStyle w:val="LOnormal"/>
        <w:spacing w:before="0" w:after="0"/>
        <w:ind w:left="360" w:hanging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3. Informacje dodatkowe.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sprzęt należy dostarczyć do siedziby Zamawiającego. Koszty dostawy (w tym koszty opakowania, ubezpieczenia, transportu) ponosi Wykonawca.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rozpakowanie urządzenia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montaż dostarczonego urządzenia w szafie rack wyznaczonej przez Zamawiającego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podłączenie urządzenia do listew zasilających PDU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16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bookmarkStart w:id="2" w:name="_1fob9te"/>
      <w:bookmarkEnd w:id="2"/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poprowadzenie niezbędnych kabli pomiędzy dostarczonym urządzeniem i innymi urządzeniami Zamawiającego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uruchomienie dostarczonego urządzenia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testy diagnostyczne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aktualizacja oprogramowania układowego wszystkich komponentów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integracja z siecią LAN Zamawiającego, utworzenie wymaganych połączeń logicznych podsieci, VLAN’ów,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Podłączenie do sieci SAN , utworzenie wymaganych aliasów, konfiguracji, mechanizmów mapowania i autoryzacji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konfiguracja systemu zdalnego zarządzania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konfiguracja RAID i woluminów serwera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instalacja i konfigurację systemu operacyjnego zgodnie z założeniami Zamawiającego tworząc bezpieczne środowisko systemowe odporne na zewnętrzną ingerencję z uwzględnieniem kontroli dostępu użytkowników, konfiguracji sieciowej i sprzętowej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podłączenia serwera do udostępnionej przestrzeni dyskowej na posiadanej przez Zamawiającego macierzy wykorzystując połączenia wielościeżkowe (multipathing) do macierzy, zapewniające ciągłość dostępu do danych w przypadku awarii.</w:t>
      </w:r>
    </w:p>
    <w:p>
      <w:pPr>
        <w:pStyle w:val="LOnormal"/>
        <w:keepNext w:val="false"/>
        <w:keepLines w:val="false"/>
        <w:pageBreakBefore w:val="false"/>
        <w:widowControl/>
        <w:numPr>
          <w:ilvl w:val="0"/>
          <w:numId w:val="14"/>
        </w:numPr>
        <w:shd w:val="clear" w:fill="auto"/>
        <w:spacing w:lineRule="auto" w:line="276" w:before="0" w:after="160"/>
        <w:ind w:left="1080" w:right="0" w:hanging="360"/>
        <w:jc w:val="left"/>
        <w:rPr>
          <w:rFonts w:ascii="Times New Roman" w:hAnsi="Times New Roman"/>
          <w:sz w:val="22"/>
          <w:szCs w:val="22"/>
        </w:rPr>
      </w:pPr>
      <w:r>
        <w:rPr>
          <w:rFonts w:eastAsia="Aptos" w:cs="Aptos" w:ascii="Times New Roman" w:hAnsi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Przeprowadzenie instruktażu w siedzibie Zamawiającego dla wskazanego personelu w zakresie zasad  użytkowania i obsługi.</w:t>
      </w:r>
    </w:p>
    <w:sectPr>
      <w:type w:val="nextPage"/>
      <w:pgSz w:w="11906" w:h="16838"/>
      <w:pgMar w:left="1417" w:right="1417" w:gutter="0" w:header="0" w:top="1417" w:footer="0" w:bottom="141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ptos">
    <w:charset w:val="ee"/>
    <w:family w:val="roman"/>
    <w:pitch w:val="variable"/>
  </w:font>
  <w:font w:name="Play">
    <w:charset w:val="ee"/>
    <w:family w:val="swiss"/>
    <w:pitch w:val="variable"/>
  </w:font>
  <w:font w:name="Times New Roman">
    <w:charset w:val="ee"/>
    <w:family w:val="roman"/>
    <w:pitch w:val="variable"/>
  </w:font>
  <w:font w:name="Wingdings">
    <w:charset w:val="ee"/>
    <w:family w:val="roman"/>
    <w:pitch w:val="variable"/>
  </w:font>
  <w:font w:name="Aria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Play"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Noto Sans Symbols">
    <w:charset w:val="01"/>
    <w:family w:val="swiss"/>
    <w:pitch w:val="default"/>
  </w:font>
  <w:font w:name="Courier New">
    <w:charset w:val="01"/>
    <w:family w:val="modern"/>
    <w:pitch w:val="fixed"/>
  </w:font>
  <w:font w:name="Aptos"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−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2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−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3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−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4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−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5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−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6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−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7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−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8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−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9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0"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ptos" w:hAnsi="Aptos" w:cs="Apto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1"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ptos" w:hAnsi="Aptos" w:cs="Apto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2"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ptos" w:hAnsi="Aptos" w:cs="Apto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3"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ptos" w:hAnsi="Aptos" w:cs="Apto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4">
    <w:lvl w:ilvl="0">
      <w:start w:val="1"/>
      <w:numFmt w:val="bullet"/>
      <w:lvlText w:val="●"/>
      <w:lvlJc w:val="left"/>
      <w:pPr>
        <w:tabs>
          <w:tab w:val="num" w:pos="0"/>
        </w:tabs>
        <w:ind w:left="108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52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24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68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40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840" w:hanging="360"/>
      </w:pPr>
      <w:rPr>
        <w:rFonts w:ascii="Noto Sans Symbols" w:hAnsi="Noto Sans Symbols" w:cs="Noto Sans Symbols" w:hint="default"/>
      </w:rPr>
    </w:lvl>
  </w:abstractNum>
  <w:abstractNum w:abstractNumId="15"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−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6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ptos" w:hAnsi="Aptos" w:eastAsia="Aptos" w:cs="Aptos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</w:pPr>
    <w:rPr>
      <w:rFonts w:ascii="Aptos" w:hAnsi="Aptos" w:eastAsia="Aptos" w:cs="Aptos"/>
      <w:color w:val="auto"/>
      <w:kern w:val="0"/>
      <w:sz w:val="24"/>
      <w:szCs w:val="24"/>
      <w:lang w:val="pl-PL" w:eastAsia="zh-CN" w:bidi="hi-IN"/>
    </w:rPr>
  </w:style>
  <w:style w:type="paragraph" w:styleId="Nagwek1">
    <w:name w:val="Heading 1"/>
    <w:basedOn w:val="LOnormal"/>
    <w:next w:val="LOnormal"/>
    <w:qFormat/>
    <w:pPr>
      <w:keepNext w:val="true"/>
      <w:keepLines/>
      <w:spacing w:lineRule="auto" w:line="240" w:before="360" w:after="80"/>
    </w:pPr>
    <w:rPr>
      <w:rFonts w:ascii="Play" w:hAnsi="Play" w:eastAsia="Play" w:cs="Play"/>
      <w:color w:val="0F4761"/>
      <w:sz w:val="40"/>
      <w:szCs w:val="40"/>
    </w:rPr>
  </w:style>
  <w:style w:type="paragraph" w:styleId="Nagwek2">
    <w:name w:val="Heading 2"/>
    <w:basedOn w:val="LOnormal"/>
    <w:next w:val="LOnormal"/>
    <w:qFormat/>
    <w:pPr>
      <w:keepNext w:val="true"/>
      <w:keepLines/>
      <w:spacing w:lineRule="auto" w:line="240" w:before="160" w:after="80"/>
    </w:pPr>
    <w:rPr>
      <w:rFonts w:ascii="Play" w:hAnsi="Play" w:eastAsia="Play" w:cs="Play"/>
      <w:color w:val="0F4761"/>
      <w:sz w:val="32"/>
      <w:szCs w:val="32"/>
    </w:rPr>
  </w:style>
  <w:style w:type="paragraph" w:styleId="Nagwek3">
    <w:name w:val="Heading 3"/>
    <w:basedOn w:val="LOnormal"/>
    <w:next w:val="LOnormal"/>
    <w:qFormat/>
    <w:pPr>
      <w:keepNext w:val="true"/>
      <w:keepLines/>
      <w:spacing w:lineRule="auto" w:line="240" w:before="160" w:after="80"/>
    </w:pPr>
    <w:rPr>
      <w:color w:val="0F4761"/>
      <w:sz w:val="28"/>
      <w:szCs w:val="28"/>
    </w:rPr>
  </w:style>
  <w:style w:type="paragraph" w:styleId="Nagwek4">
    <w:name w:val="Heading 4"/>
    <w:basedOn w:val="LOnormal"/>
    <w:next w:val="LOnormal"/>
    <w:qFormat/>
    <w:pPr>
      <w:keepNext w:val="true"/>
      <w:keepLines/>
      <w:spacing w:lineRule="auto" w:line="240" w:before="80" w:after="40"/>
    </w:pPr>
    <w:rPr>
      <w:i/>
      <w:color w:val="0F4761"/>
    </w:rPr>
  </w:style>
  <w:style w:type="paragraph" w:styleId="Nagwek5">
    <w:name w:val="Heading 5"/>
    <w:basedOn w:val="LOnormal"/>
    <w:next w:val="LOnormal"/>
    <w:qFormat/>
    <w:pPr>
      <w:keepNext w:val="true"/>
      <w:keepLines/>
      <w:spacing w:lineRule="auto" w:line="240" w:before="80" w:after="40"/>
    </w:pPr>
    <w:rPr>
      <w:color w:val="0F4761"/>
    </w:rPr>
  </w:style>
  <w:style w:type="paragraph" w:styleId="Nagwek6">
    <w:name w:val="Heading 6"/>
    <w:basedOn w:val="LOnormal"/>
    <w:next w:val="LOnormal"/>
    <w:qFormat/>
    <w:pPr>
      <w:keepNext w:val="true"/>
      <w:keepLines/>
      <w:spacing w:lineRule="auto" w:line="240" w:before="40" w:after="0"/>
    </w:pPr>
    <w:rPr>
      <w:i/>
      <w:color w:val="595959"/>
    </w:rPr>
  </w:style>
  <w:style w:type="character" w:styleId="TematkomentarzaZnak">
    <w:name w:val="Temat komentarza Znak"/>
    <w:qFormat/>
    <w:rPr>
      <w:b/>
      <w:bCs/>
      <w:lang w:eastAsia="ar-SA"/>
    </w:rPr>
  </w:style>
  <w:style w:type="character" w:styleId="TekstkomentarzaZnak">
    <w:name w:val="Tekst komentarza Znak"/>
    <w:qFormat/>
    <w:rPr>
      <w:lang w:eastAsia="ar-SA"/>
    </w:rPr>
  </w:style>
  <w:style w:type="character" w:styleId="Annotationreference">
    <w:name w:val="annotation reference"/>
    <w:qFormat/>
    <w:rPr>
      <w:sz w:val="16"/>
      <w:szCs w:val="16"/>
    </w:rPr>
  </w:style>
  <w:style w:type="character" w:styleId="StopkaZnak">
    <w:name w:val="Stopka Znak"/>
    <w:qFormat/>
    <w:rPr>
      <w:sz w:val="24"/>
      <w:szCs w:val="24"/>
      <w:lang w:eastAsia="ar-SA"/>
    </w:rPr>
  </w:style>
  <w:style w:type="character" w:styleId="NagwekZnak">
    <w:name w:val="Nagłówek Znak"/>
    <w:qFormat/>
    <w:rPr>
      <w:rFonts w:ascii="Times New Roman" w:hAnsi="Times New Roman" w:eastAsia="Times New Roman" w:cs="Times New Roman"/>
      <w:color w:val="000000"/>
      <w:sz w:val="24"/>
      <w:szCs w:val="24"/>
    </w:rPr>
  </w:style>
  <w:style w:type="character" w:styleId="Tekstpodstawowywcity3Znak">
    <w:name w:val="Tekst podstawowy wcięty 3 Znak"/>
    <w:qFormat/>
    <w:rPr>
      <w:sz w:val="16"/>
      <w:szCs w:val="16"/>
    </w:rPr>
  </w:style>
  <w:style w:type="character" w:styleId="TekstpodstawowyZnak">
    <w:name w:val="Tekst podstawowy Znak"/>
    <w:qFormat/>
    <w:rPr>
      <w:b/>
      <w:bCs/>
      <w:sz w:val="24"/>
      <w:szCs w:val="24"/>
      <w:lang w:val="pl-PL" w:eastAsia="ar-SA" w:bidi="ar-SA"/>
    </w:rPr>
  </w:style>
  <w:style w:type="character" w:styleId="Domylnaczcionkaakapitu1">
    <w:name w:val="Domyślna czcionka akapitu1"/>
    <w:qFormat/>
    <w:rPr/>
  </w:style>
  <w:style w:type="character" w:styleId="WW8Num11z1">
    <w:name w:val="WW8Num11z1"/>
    <w:qFormat/>
    <w:rPr>
      <w:rFonts w:ascii="Wingdings" w:hAnsi="Wingdings"/>
    </w:rPr>
  </w:style>
  <w:style w:type="character" w:styleId="WW8Num10z0">
    <w:name w:val="WW8Num10z0"/>
    <w:qFormat/>
    <w:rPr>
      <w:rFonts w:cs="Times New Roman"/>
    </w:rPr>
  </w:style>
  <w:style w:type="character" w:styleId="WW8Num8z0">
    <w:name w:val="WW8Num8z0"/>
    <w:qFormat/>
    <w:rPr>
      <w:rFonts w:ascii="Arial" w:hAnsi="Arial" w:cs="Arial"/>
      <w:sz w:val="24"/>
      <w:szCs w:val="24"/>
    </w:rPr>
  </w:style>
  <w:style w:type="character" w:styleId="WW8Num5z0">
    <w:name w:val="WW8Num5z0"/>
    <w:qFormat/>
    <w:rPr>
      <w:rFonts w:cs="Times New Roman"/>
    </w:rPr>
  </w:style>
  <w:style w:type="character" w:styleId="WW8Num4z0">
    <w:name w:val="WW8Num4z0"/>
    <w:qFormat/>
    <w:rPr>
      <w:b w:val="false"/>
      <w:bCs w:val="false"/>
    </w:rPr>
  </w:style>
  <w:style w:type="character" w:styleId="WW8Num3z0">
    <w:name w:val="WW8Num3z0"/>
    <w:qFormat/>
    <w:rPr>
      <w:rFonts w:cs="Times New Roman"/>
    </w:rPr>
  </w:style>
  <w:style w:type="character" w:styleId="AbsatzStandardschriftart">
    <w:name w:val="Absatz-Standardschriftart"/>
    <w:qFormat/>
    <w:rPr/>
  </w:style>
  <w:style w:type="character" w:styleId="WW8Num1z0">
    <w:name w:val="WW8Num1z0"/>
    <w:qFormat/>
    <w:rPr>
      <w:b w:val="false"/>
      <w:bCs w:val="false"/>
    </w:rPr>
  </w:style>
  <w:style w:type="character" w:styleId="DefaultParagraphFont">
    <w:name w:val="Default Paragraph Font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Onormal" w:default="1">
    <w:name w:val="LO-normal"/>
    <w:qFormat/>
    <w:pPr>
      <w:widowControl/>
      <w:suppressAutoHyphens w:val="true"/>
      <w:bidi w:val="0"/>
      <w:spacing w:lineRule="auto" w:line="276" w:before="0" w:after="160"/>
      <w:jc w:val="left"/>
    </w:pPr>
    <w:rPr>
      <w:rFonts w:ascii="Aptos" w:hAnsi="Aptos" w:eastAsia="Aptos" w:cs="Aptos"/>
      <w:color w:val="auto"/>
      <w:kern w:val="0"/>
      <w:sz w:val="24"/>
      <w:szCs w:val="24"/>
      <w:lang w:val="pl-PL" w:eastAsia="zh-CN" w:bidi="hi-IN"/>
    </w:rPr>
  </w:style>
  <w:style w:type="paragraph" w:styleId="Tytu">
    <w:name w:val="Title"/>
    <w:basedOn w:val="LOnormal"/>
    <w:next w:val="LOnormal"/>
    <w:qFormat/>
    <w:pPr>
      <w:spacing w:lineRule="auto" w:line="240" w:before="0" w:after="80"/>
    </w:pPr>
    <w:rPr>
      <w:rFonts w:ascii="Play" w:hAnsi="Play" w:eastAsia="Play" w:cs="Play"/>
      <w:sz w:val="56"/>
      <w:szCs w:val="56"/>
    </w:rPr>
  </w:style>
  <w:style w:type="paragraph" w:styleId="Podtytu">
    <w:name w:val="Subtitle"/>
    <w:basedOn w:val="LOnormal"/>
    <w:next w:val="LOnormal"/>
    <w:qFormat/>
    <w:pPr/>
    <w:rPr>
      <w:color w:val="595959"/>
      <w:sz w:val="28"/>
      <w:szCs w:val="28"/>
    </w:rPr>
  </w:style>
  <w:style w:type="paragraph" w:styleId="Annotationsubject">
    <w:name w:val="annotation subject"/>
    <w:qFormat/>
    <w:pPr>
      <w:widowControl/>
      <w:suppressAutoHyphens w:val="true"/>
      <w:bidi w:val="0"/>
      <w:spacing w:before="0" w:after="0"/>
      <w:jc w:val="left"/>
    </w:pPr>
    <w:rPr>
      <w:rFonts w:ascii="Aptos" w:hAnsi="Aptos" w:eastAsia="Aptos" w:cs="Aptos"/>
      <w:b/>
      <w:bCs/>
      <w:color w:val="auto"/>
      <w:kern w:val="0"/>
      <w:sz w:val="24"/>
      <w:szCs w:val="24"/>
      <w:lang w:val="pl-PL" w:eastAsia="zh-CN" w:bidi="hi-IN"/>
    </w:rPr>
  </w:style>
  <w:style w:type="paragraph" w:styleId="Annotationtext">
    <w:name w:val="annotation text"/>
    <w:basedOn w:val="Normal"/>
    <w:qFormat/>
    <w:pPr/>
    <w:rPr/>
  </w:style>
  <w:style w:type="paragraph" w:styleId="ListParagraph">
    <w:name w:val="List Paragraph"/>
    <w:basedOn w:val="Normal"/>
    <w:qFormat/>
    <w:pPr>
      <w:suppressAutoHyphens w:val="false"/>
      <w:spacing w:lineRule="auto" w:line="254" w:before="0" w:after="160"/>
      <w:ind w:left="720" w:hanging="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Tekstpodstawowywcity31">
    <w:name w:val="Tekst podstawowy wcięty 31"/>
    <w:basedOn w:val="Normal"/>
    <w:qFormat/>
    <w:pPr>
      <w:spacing w:before="0" w:after="120"/>
      <w:ind w:left="283" w:hanging="0"/>
    </w:pPr>
    <w:rPr>
      <w:sz w:val="16"/>
      <w:szCs w:val="16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Punkty1">
    <w:name w:val="punkty1"/>
    <w:qFormat/>
    <w:pPr>
      <w:widowControl/>
      <w:suppressAutoHyphens w:val="true"/>
      <w:bidi w:val="0"/>
      <w:spacing w:lineRule="auto" w:line="360" w:before="0" w:after="0"/>
      <w:jc w:val="both"/>
    </w:pPr>
    <w:rPr>
      <w:rFonts w:ascii="Aptos" w:hAnsi="Aptos" w:eastAsia="Aptos" w:cs="Aptos"/>
      <w:color w:val="auto"/>
      <w:kern w:val="0"/>
      <w:sz w:val="24"/>
      <w:szCs w:val="24"/>
      <w:lang w:val="pl-PL" w:eastAsia="zh-CN" w:bidi="hi-IN"/>
    </w:rPr>
  </w:style>
  <w:style w:type="paragraph" w:styleId="Tekstpodstawowy31">
    <w:name w:val="Tekst podstawowy 31"/>
    <w:basedOn w:val="Normal"/>
    <w:qFormat/>
    <w:pPr>
      <w:jc w:val="both"/>
    </w:pPr>
    <w:rPr/>
  </w:style>
  <w:style w:type="paragraph" w:styleId="Tekstpodstawowy21">
    <w:name w:val="Tekst podstawowy 21"/>
    <w:basedOn w:val="Normal"/>
    <w:qFormat/>
    <w:pPr/>
    <w:rPr/>
  </w:style>
  <w:style w:type="paragraph" w:styleId="Podpis1">
    <w:name w:val="Podpis1"/>
    <w:basedOn w:val="Normal"/>
    <w:qFormat/>
    <w:pPr>
      <w:spacing w:before="120" w:after="120"/>
    </w:pPr>
    <w:rPr>
      <w:rFonts w:cs="Mangal"/>
      <w:i/>
      <w:iCs/>
    </w:rPr>
  </w:style>
  <w:style w:type="paragraph" w:styleId="Nagwek11">
    <w:name w:val="Nagłówek1"/>
    <w:basedOn w:val="Normal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</TotalTime>
  <Application>LibreOffice/7.4.2.3$Windows_X86_64 LibreOffice_project/382eef1f22670f7f4118c8c2dd222ec7ad009daf</Application>
  <AppVersion>15.0000</AppVersion>
  <Pages>10</Pages>
  <Words>2230</Words>
  <Characters>15421</Characters>
  <CharactersWithSpaces>17378</CharactersWithSpaces>
  <Paragraphs>189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pl-PL</dc:language>
  <cp:lastModifiedBy/>
  <dcterms:modified xsi:type="dcterms:W3CDTF">2025-02-18T07:36:44Z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